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BAFD" w14:textId="308E87F0" w:rsidR="00A27715" w:rsidRDefault="00A27715" w:rsidP="00A27715">
      <w:pPr>
        <w:pStyle w:val="Titolo1"/>
        <w:spacing w:after="120"/>
        <w:jc w:val="both"/>
        <w:rPr>
          <w:rStyle w:val="field"/>
          <w:rFonts w:asciiTheme="minorHAnsi" w:hAnsiTheme="minorHAnsi" w:cstheme="minorHAnsi"/>
          <w:color w:val="002060"/>
          <w:sz w:val="28"/>
          <w:szCs w:val="28"/>
        </w:rPr>
      </w:pPr>
      <w:r w:rsidRPr="00A27715">
        <w:rPr>
          <w:rStyle w:val="field"/>
          <w:rFonts w:asciiTheme="minorHAnsi" w:hAnsiTheme="minorHAnsi" w:cstheme="minorHAnsi"/>
          <w:color w:val="002060"/>
          <w:sz w:val="28"/>
          <w:szCs w:val="28"/>
        </w:rPr>
        <w:t>Opere pubbliche: 379 opere incompiute, 64 in meno rispetto al 2020 (-14,4%)</w:t>
      </w:r>
    </w:p>
    <w:p w14:paraId="45FB7D9C" w14:textId="77777777" w:rsidR="00A27715" w:rsidRPr="00A27715" w:rsidRDefault="00A27715" w:rsidP="00A27715">
      <w:pPr>
        <w:spacing w:line="240" w:lineRule="auto"/>
        <w:jc w:val="both"/>
        <w:rPr>
          <w:rFonts w:cstheme="minorHAnsi"/>
          <w:i/>
          <w:iCs/>
          <w:color w:val="002060"/>
          <w:sz w:val="28"/>
          <w:szCs w:val="28"/>
        </w:rPr>
      </w:pPr>
      <w:r w:rsidRPr="00A27715">
        <w:rPr>
          <w:rFonts w:cstheme="minorHAnsi"/>
          <w:i/>
          <w:iCs/>
          <w:color w:val="002060"/>
          <w:sz w:val="28"/>
          <w:szCs w:val="28"/>
        </w:rPr>
        <w:t>Pubblicato l’aggiornamento dell’Anagrafe delle Opere Incompiute al 31 dicembre 2021. Diminuiscono le opere incompiute di competenza delle amministrazioni centrali (-42,3%) e i fondi necessari per il loro completamento scendono da 1,5 mld a 428 mln</w:t>
      </w:r>
    </w:p>
    <w:p w14:paraId="3EA3902A" w14:textId="43F9DAF9" w:rsidR="00A27715" w:rsidRPr="00A27715" w:rsidRDefault="00A27715" w:rsidP="00A27715">
      <w:pPr>
        <w:spacing w:after="120" w:line="240" w:lineRule="auto"/>
        <w:jc w:val="both"/>
        <w:rPr>
          <w:rFonts w:cstheme="minorHAnsi"/>
          <w:color w:val="002060"/>
          <w:sz w:val="24"/>
          <w:szCs w:val="24"/>
          <w:lang w:eastAsia="it-IT"/>
        </w:rPr>
      </w:pPr>
      <w:r w:rsidRPr="00A27715">
        <w:rPr>
          <w:rFonts w:cstheme="minorHAnsi"/>
          <w:i/>
          <w:iCs/>
          <w:color w:val="002060"/>
          <w:sz w:val="24"/>
          <w:szCs w:val="24"/>
          <w:lang w:eastAsia="it-IT"/>
        </w:rPr>
        <w:t>4 luglio 2022</w:t>
      </w:r>
      <w:r w:rsidRPr="00A27715">
        <w:rPr>
          <w:rFonts w:cstheme="minorHAnsi"/>
          <w:color w:val="002060"/>
          <w:sz w:val="24"/>
          <w:szCs w:val="24"/>
          <w:lang w:eastAsia="it-IT"/>
        </w:rPr>
        <w:t> </w:t>
      </w:r>
      <w:r>
        <w:rPr>
          <w:rFonts w:cstheme="minorHAnsi"/>
          <w:color w:val="002060"/>
          <w:sz w:val="24"/>
          <w:szCs w:val="24"/>
          <w:lang w:eastAsia="it-IT"/>
        </w:rPr>
        <w:t>– I</w:t>
      </w:r>
      <w:r w:rsidRPr="00A27715">
        <w:rPr>
          <w:rFonts w:cstheme="minorHAnsi"/>
          <w:color w:val="002060"/>
          <w:sz w:val="24"/>
          <w:szCs w:val="24"/>
          <w:lang w:eastAsia="it-IT"/>
        </w:rPr>
        <w:t>n ottemperanza alle disposizioni di cui all’art. 5, comma 1, lett. b) del D.M. 13 marzo 2013, n. 42, grazie all’azione sinergica tra il Ministero delle infrastrutture e della mobilità sostenibili e le Regioni e Province autonome, con il supporto di ITACA organo tecnico della Conferenza delle Regioni, è stato pubblicato nella sezione della piattaforma Servizio Contratti Pubblici (SCP) del MIMS dedicata alla rilevazione delle Opere Incompiute, l’aggiornamento 2021 degli elenchi anagrafe delle opere pubbliche incompiute facenti capo, rispettivamente, alle amministrazioni di ambito centrale e amministrazioni di ambito regionale.</w:t>
      </w:r>
    </w:p>
    <w:p w14:paraId="61721285" w14:textId="63524C69" w:rsidR="00A27715" w:rsidRDefault="00A27715" w:rsidP="00A27715">
      <w:pPr>
        <w:spacing w:after="120" w:line="240" w:lineRule="auto"/>
        <w:jc w:val="both"/>
        <w:rPr>
          <w:rFonts w:cs="Helvetica"/>
          <w:color w:val="002060"/>
          <w:sz w:val="24"/>
          <w:szCs w:val="24"/>
          <w:lang w:eastAsia="it-IT"/>
        </w:rPr>
      </w:pPr>
      <w:r w:rsidRPr="00A27715">
        <w:rPr>
          <w:rFonts w:cstheme="minorHAnsi"/>
          <w:color w:val="002060"/>
          <w:sz w:val="24"/>
          <w:szCs w:val="24"/>
          <w:lang w:eastAsia="it-IT"/>
        </w:rPr>
        <w:t>Dall’elenco emerge che al</w:t>
      </w:r>
      <w:r w:rsidRPr="00A27715">
        <w:rPr>
          <w:rFonts w:cs="Helvetica"/>
          <w:color w:val="002060"/>
          <w:sz w:val="24"/>
          <w:szCs w:val="24"/>
          <w:lang w:eastAsia="it-IT"/>
        </w:rPr>
        <w:t xml:space="preserve"> 31 dicembre 2021 le opere incompiute erano pari a 379, in calo rispetto alle 443 (-14,4%) della fine del 2020, anno in cui si era già registrata una diminuzione rispetto all’anno precedente. Per quanto riguarda le opere di competenza delle amministrazioni centrali, quelle incompiute scendono da 26 a 15 (-42,3%), mentre quelle relative alle amministrazioni locali si riducono da 417 a 364 (-12,7%).</w:t>
      </w:r>
    </w:p>
    <w:p w14:paraId="6EFFDD56" w14:textId="77777777" w:rsidR="00A27715" w:rsidRPr="00A27715" w:rsidRDefault="00A27715" w:rsidP="00151F57">
      <w:pPr>
        <w:spacing w:after="120" w:line="240" w:lineRule="auto"/>
        <w:jc w:val="both"/>
        <w:rPr>
          <w:rFonts w:cs="Helvetica"/>
          <w:color w:val="002060"/>
          <w:sz w:val="24"/>
          <w:szCs w:val="24"/>
          <w:lang w:eastAsia="it-IT"/>
        </w:rPr>
      </w:pPr>
      <w:r w:rsidRPr="00A27715">
        <w:rPr>
          <w:rFonts w:cs="Helvetica"/>
          <w:color w:val="002060"/>
          <w:sz w:val="24"/>
          <w:szCs w:val="24"/>
          <w:lang w:eastAsia="it-IT"/>
        </w:rPr>
        <w:t>L’importo degli interventi necessari per completare le opere è pari a circa a 1,2 miliardi di euro, con una riduzione del 45,7% rispetto al valore del 2020. Più in dettaglio, i valori complessivi delle opere di competenza delle amministrazioni centrali si riducono del 55,9%, passando da 1,5 miliardi di euro circa a 656 milioni di euro, mentre quelli necessari per l’ultimazione dei lavori scendono da 1,5 miliardi di euro a 428 milioni (-71%). Per quanto riguarda le opere di competenza delle amministrazioni locali, l’importo diminuisce solo marginalmente, da 1,3 miliardi di euro a 1,2 miliardi (-7,7%), mentre quello necessario a completarle aumenta da 782 milioni di euro a 827 milioni (+5,7%).</w:t>
      </w:r>
    </w:p>
    <w:p w14:paraId="48109149" w14:textId="77777777" w:rsidR="00A27715" w:rsidRDefault="00A27715" w:rsidP="00151F57">
      <w:pPr>
        <w:spacing w:after="120" w:line="240" w:lineRule="auto"/>
        <w:jc w:val="both"/>
        <w:rPr>
          <w:rFonts w:cs="Helvetica"/>
          <w:color w:val="002060"/>
          <w:sz w:val="24"/>
          <w:szCs w:val="24"/>
          <w:lang w:eastAsia="it-IT"/>
        </w:rPr>
      </w:pPr>
      <w:r w:rsidRPr="00A27715">
        <w:rPr>
          <w:rFonts w:cs="Helvetica"/>
          <w:color w:val="002060"/>
          <w:sz w:val="24"/>
          <w:szCs w:val="24"/>
          <w:lang w:eastAsia="it-IT"/>
        </w:rPr>
        <w:t>Dal 2021 è stata inserita nella rilevazione l’informazione sulle cause che hanno determinato il mancato completamento delle opere. Risulta che, in 153 casi (40%) la mancanza di fondi è la causa dell’interruzione del processo di completamento dell’opera, in 115 casi (30%) si rilevano problemi tecnici, per 69 opere (18%) la causa è stata il fallimento, recesso o risoluzione contrattuale dell’impresa, 21 opere (6%) sono state interrotte per sopravvenute nuove norme tecniche o disposizioni di legge, per 15 opere (4%) si riscontra un mancato interesse al completamento, mentre per 6 opere (2%) concorrono più cause contemporaneamente.</w:t>
      </w:r>
    </w:p>
    <w:p w14:paraId="4DD8047C" w14:textId="3EA285F8" w:rsidR="00A27715" w:rsidRPr="00A27715" w:rsidRDefault="00A27715" w:rsidP="00151F57">
      <w:pPr>
        <w:spacing w:after="120" w:line="240" w:lineRule="auto"/>
        <w:jc w:val="both"/>
        <w:rPr>
          <w:rFonts w:cs="Helvetica"/>
          <w:color w:val="002060"/>
          <w:sz w:val="24"/>
          <w:szCs w:val="24"/>
          <w:lang w:eastAsia="it-IT"/>
        </w:rPr>
      </w:pPr>
      <w:r w:rsidRPr="00A27715">
        <w:rPr>
          <w:rFonts w:cs="Helvetica"/>
          <w:color w:val="002060"/>
          <w:sz w:val="24"/>
          <w:szCs w:val="24"/>
          <w:lang w:eastAsia="it-IT"/>
        </w:rPr>
        <w:t xml:space="preserve">Nel corso del 2021, il </w:t>
      </w:r>
      <w:proofErr w:type="spellStart"/>
      <w:r w:rsidRPr="00A27715">
        <w:rPr>
          <w:rFonts w:cs="Helvetica"/>
          <w:color w:val="002060"/>
          <w:sz w:val="24"/>
          <w:szCs w:val="24"/>
          <w:lang w:eastAsia="it-IT"/>
        </w:rPr>
        <w:t>Mims</w:t>
      </w:r>
      <w:proofErr w:type="spellEnd"/>
      <w:r w:rsidRPr="00A27715">
        <w:rPr>
          <w:rFonts w:cs="Helvetica"/>
          <w:color w:val="002060"/>
          <w:sz w:val="24"/>
          <w:szCs w:val="24"/>
          <w:lang w:eastAsia="it-IT"/>
        </w:rPr>
        <w:t xml:space="preserve"> e le Regioni hanno prestato particolare attenzione alla rilevazione delle opere incompiute prevista dall’art. 21 del </w:t>
      </w:r>
      <w:proofErr w:type="spellStart"/>
      <w:r w:rsidRPr="00A27715">
        <w:rPr>
          <w:rFonts w:cs="Helvetica"/>
          <w:color w:val="002060"/>
          <w:sz w:val="24"/>
          <w:szCs w:val="24"/>
          <w:lang w:eastAsia="it-IT"/>
        </w:rPr>
        <w:t>D.lgs</w:t>
      </w:r>
      <w:proofErr w:type="spellEnd"/>
      <w:r w:rsidRPr="00A27715">
        <w:rPr>
          <w:rFonts w:cs="Helvetica"/>
          <w:color w:val="002060"/>
          <w:sz w:val="24"/>
          <w:szCs w:val="24"/>
          <w:lang w:eastAsia="it-IT"/>
        </w:rPr>
        <w:t xml:space="preserve"> 50/2016, il quale prevede l’obbligo di inserimento delle stesse nel programma triennale dei lavori pubblici al fine di prevederne il completamento oppure l’individuazione di soluzioni alternative, tra cui il parziale riutilizzo, la cessione a titolo di corrispettivo per la realizzazione di altra opera pubblica, la vendita o la demolizione. Tale obbligo è in vigore a decorrere dal triennio di programmazione 2019-2021, così come previsto dal Decreto MIT n. 14 del 16 gennaio 2018.</w:t>
      </w:r>
    </w:p>
    <w:p w14:paraId="5B3B8DED" w14:textId="7330F46B" w:rsidR="00A27715" w:rsidRPr="00A27715" w:rsidRDefault="00A27715" w:rsidP="00151F57">
      <w:pPr>
        <w:spacing w:after="120" w:line="240" w:lineRule="auto"/>
        <w:jc w:val="both"/>
        <w:rPr>
          <w:rFonts w:cs="Helvetica"/>
          <w:color w:val="002060"/>
          <w:sz w:val="24"/>
          <w:szCs w:val="24"/>
          <w:lang w:eastAsia="it-IT"/>
        </w:rPr>
      </w:pPr>
      <w:r w:rsidRPr="00A27715">
        <w:rPr>
          <w:rFonts w:cs="Helvetica"/>
          <w:color w:val="002060"/>
          <w:sz w:val="24"/>
          <w:szCs w:val="24"/>
          <w:lang w:eastAsia="it-IT"/>
        </w:rPr>
        <w:t xml:space="preserve">In base alle norme vigenti, entro il 31 marzo di ciascun anno le stazioni appaltanti, gli enti e altri soggetti aggiudicatori individuano le opere incompiute di rispettiva competenza e trasmettono la lista al </w:t>
      </w:r>
      <w:proofErr w:type="spellStart"/>
      <w:r w:rsidRPr="00A27715">
        <w:rPr>
          <w:rFonts w:cs="Helvetica"/>
          <w:color w:val="002060"/>
          <w:sz w:val="24"/>
          <w:szCs w:val="24"/>
          <w:lang w:eastAsia="it-IT"/>
        </w:rPr>
        <w:t>Mims</w:t>
      </w:r>
      <w:proofErr w:type="spellEnd"/>
      <w:r w:rsidRPr="00A27715">
        <w:rPr>
          <w:rFonts w:cs="Helvetica"/>
          <w:color w:val="002060"/>
          <w:sz w:val="24"/>
          <w:szCs w:val="24"/>
          <w:lang w:eastAsia="it-IT"/>
        </w:rPr>
        <w:t xml:space="preserve">. Anche in seguito della richiesta del Ministero di dedicare particolare attenzione al tema, i dati del 2021 relativi ad alcune Regioni presentano variazioni </w:t>
      </w:r>
      <w:proofErr w:type="spellStart"/>
      <w:r w:rsidRPr="00A27715">
        <w:rPr>
          <w:rFonts w:cs="Helvetica"/>
          <w:color w:val="002060"/>
          <w:sz w:val="24"/>
          <w:szCs w:val="24"/>
          <w:lang w:eastAsia="it-IT"/>
        </w:rPr>
        <w:t>particolarmente significative</w:t>
      </w:r>
      <w:proofErr w:type="spellEnd"/>
      <w:r w:rsidRPr="00A27715">
        <w:rPr>
          <w:rFonts w:cs="Helvetica"/>
          <w:color w:val="002060"/>
          <w:sz w:val="24"/>
          <w:szCs w:val="24"/>
          <w:lang w:eastAsia="it-IT"/>
        </w:rPr>
        <w:t>, ad esempio, in termini di oneri per il completamento dell’opera. </w:t>
      </w:r>
    </w:p>
    <w:p w14:paraId="7108834E" w14:textId="7E9433A5" w:rsidR="00D54F07" w:rsidRDefault="00D54F07" w:rsidP="006A55DF">
      <w:pPr>
        <w:spacing w:after="210" w:line="240" w:lineRule="auto"/>
        <w:jc w:val="both"/>
        <w:rPr>
          <w:rFonts w:ascii="Times New Roman" w:hAnsi="Times New Roman"/>
          <w:b/>
          <w:iCs/>
          <w:color w:val="1C2024"/>
          <w:sz w:val="26"/>
          <w:szCs w:val="26"/>
          <w:lang w:eastAsia="it-IT"/>
        </w:rPr>
      </w:pPr>
    </w:p>
    <w:p w14:paraId="168E4FD5" w14:textId="485217CE" w:rsidR="00A427D4" w:rsidRPr="00A427D4" w:rsidRDefault="00A427D4" w:rsidP="00A427D4">
      <w:pPr>
        <w:spacing w:after="120" w:line="240" w:lineRule="auto"/>
        <w:jc w:val="both"/>
        <w:rPr>
          <w:rFonts w:cs="Helvetica"/>
          <w:color w:val="002060"/>
          <w:sz w:val="24"/>
          <w:szCs w:val="24"/>
          <w:lang w:eastAsia="it-IT"/>
        </w:rPr>
      </w:pPr>
      <w:r w:rsidRPr="00A427D4">
        <w:rPr>
          <w:rFonts w:cs="Helvetica"/>
          <w:color w:val="002060"/>
          <w:sz w:val="24"/>
          <w:szCs w:val="24"/>
          <w:lang w:eastAsia="it-IT"/>
        </w:rPr>
        <w:lastRenderedPageBreak/>
        <w:t>Vedi la tabella con una </w:t>
      </w:r>
      <w:hyperlink r:id="rId4" w:tgtFrame="_blank" w:tooltip="Statistiche opere incompiute" w:history="1">
        <w:r w:rsidRPr="00A427D4">
          <w:rPr>
            <w:rFonts w:cs="Helvetica"/>
            <w:color w:val="0070C0"/>
            <w:sz w:val="24"/>
            <w:szCs w:val="24"/>
            <w:u w:val="single"/>
            <w:lang w:eastAsia="it-IT"/>
          </w:rPr>
          <w:t>sintesi statistica</w:t>
        </w:r>
        <w:r w:rsidRPr="00A427D4">
          <w:rPr>
            <w:rFonts w:cs="Helvetica"/>
            <w:b/>
            <w:bCs/>
            <w:color w:val="0070C0"/>
            <w:sz w:val="24"/>
            <w:szCs w:val="24"/>
            <w:u w:val="single"/>
            <w:lang w:eastAsia="it-IT"/>
          </w:rPr>
          <w:t> </w:t>
        </w:r>
      </w:hyperlink>
      <w:r w:rsidRPr="00A427D4">
        <w:rPr>
          <w:rFonts w:cs="Helvetica"/>
          <w:color w:val="002060"/>
          <w:sz w:val="24"/>
          <w:szCs w:val="24"/>
          <w:lang w:eastAsia="it-IT"/>
        </w:rPr>
        <w:t>delle opere incompiute o i dati di dettaglio sulla pagina dedicata del </w:t>
      </w:r>
      <w:hyperlink r:id="rId5" w:tgtFrame="_blank" w:tooltip="Simoi" w:history="1">
        <w:r w:rsidRPr="00A427D4">
          <w:rPr>
            <w:rFonts w:cs="Helvetica"/>
            <w:color w:val="0070C0"/>
            <w:sz w:val="24"/>
            <w:szCs w:val="24"/>
            <w:u w:val="single"/>
            <w:lang w:eastAsia="it-IT"/>
          </w:rPr>
          <w:t>Sistema Informativo di monitoraggio delle opere incompiute</w:t>
        </w:r>
      </w:hyperlink>
      <w:r w:rsidRPr="00A427D4">
        <w:rPr>
          <w:rFonts w:cs="Helvetica"/>
          <w:color w:val="002060"/>
          <w:sz w:val="24"/>
          <w:szCs w:val="24"/>
          <w:lang w:eastAsia="it-IT"/>
        </w:rPr>
        <w:t>.</w:t>
      </w:r>
    </w:p>
    <w:sectPr w:rsidR="00A427D4" w:rsidRPr="00A427D4" w:rsidSect="00EF4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F2"/>
    <w:rsid w:val="00073D15"/>
    <w:rsid w:val="000A51DC"/>
    <w:rsid w:val="00121C1F"/>
    <w:rsid w:val="00127E60"/>
    <w:rsid w:val="00151F57"/>
    <w:rsid w:val="00216F1E"/>
    <w:rsid w:val="00235082"/>
    <w:rsid w:val="00354967"/>
    <w:rsid w:val="003865E7"/>
    <w:rsid w:val="004149F2"/>
    <w:rsid w:val="004D0F30"/>
    <w:rsid w:val="00521DB8"/>
    <w:rsid w:val="00581BE0"/>
    <w:rsid w:val="005E2787"/>
    <w:rsid w:val="005E5C25"/>
    <w:rsid w:val="00600F39"/>
    <w:rsid w:val="00667287"/>
    <w:rsid w:val="006A55DF"/>
    <w:rsid w:val="006B24CB"/>
    <w:rsid w:val="006B4E5F"/>
    <w:rsid w:val="006E1559"/>
    <w:rsid w:val="007035D7"/>
    <w:rsid w:val="007316A2"/>
    <w:rsid w:val="007432FB"/>
    <w:rsid w:val="007965B8"/>
    <w:rsid w:val="007F5A4C"/>
    <w:rsid w:val="00801B45"/>
    <w:rsid w:val="00853982"/>
    <w:rsid w:val="0085740E"/>
    <w:rsid w:val="008625B9"/>
    <w:rsid w:val="00882D74"/>
    <w:rsid w:val="008B7B6A"/>
    <w:rsid w:val="008E54E9"/>
    <w:rsid w:val="008E573C"/>
    <w:rsid w:val="00900399"/>
    <w:rsid w:val="00986B7B"/>
    <w:rsid w:val="00996A7E"/>
    <w:rsid w:val="009C5918"/>
    <w:rsid w:val="009D066A"/>
    <w:rsid w:val="009D55A1"/>
    <w:rsid w:val="009D7153"/>
    <w:rsid w:val="00A23B8B"/>
    <w:rsid w:val="00A27715"/>
    <w:rsid w:val="00A427D4"/>
    <w:rsid w:val="00A61AF2"/>
    <w:rsid w:val="00AC579C"/>
    <w:rsid w:val="00B54805"/>
    <w:rsid w:val="00BB7D83"/>
    <w:rsid w:val="00C259A9"/>
    <w:rsid w:val="00C4151C"/>
    <w:rsid w:val="00C64BD2"/>
    <w:rsid w:val="00CB472A"/>
    <w:rsid w:val="00CD4917"/>
    <w:rsid w:val="00CD78B5"/>
    <w:rsid w:val="00CF7DE6"/>
    <w:rsid w:val="00D54F07"/>
    <w:rsid w:val="00D806DB"/>
    <w:rsid w:val="00E841AE"/>
    <w:rsid w:val="00E84220"/>
    <w:rsid w:val="00E919D8"/>
    <w:rsid w:val="00ED5B3B"/>
    <w:rsid w:val="00EF4D1D"/>
    <w:rsid w:val="00F47DE8"/>
    <w:rsid w:val="00FA6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C3BB"/>
  <w15:docId w15:val="{2977C0B3-4AB7-4934-9DF5-3390D564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A61AF2"/>
    <w:pPr>
      <w:keepNext/>
      <w:spacing w:after="0" w:line="240" w:lineRule="auto"/>
      <w:outlineLvl w:val="0"/>
    </w:pPr>
    <w:rPr>
      <w:rFonts w:ascii="Kunstler Script" w:eastAsia="Times New Roman" w:hAnsi="Kunstler Script" w:cs="Times New Roman"/>
      <w:b/>
      <w:bCs/>
      <w:color w:val="3366FF"/>
      <w:sz w:val="4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AF2"/>
    <w:rPr>
      <w:rFonts w:ascii="Kunstler Script" w:eastAsia="Times New Roman" w:hAnsi="Kunstler Script" w:cs="Times New Roman"/>
      <w:b/>
      <w:bCs/>
      <w:color w:val="3366FF"/>
      <w:sz w:val="40"/>
      <w:szCs w:val="24"/>
      <w:lang w:eastAsia="it-IT"/>
    </w:rPr>
  </w:style>
  <w:style w:type="paragraph" w:styleId="Corpotesto">
    <w:name w:val="Body Text"/>
    <w:basedOn w:val="Normale"/>
    <w:link w:val="CorpotestoCarattere"/>
    <w:rsid w:val="00A61AF2"/>
    <w:pPr>
      <w:spacing w:after="12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61AF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035D7"/>
    <w:rPr>
      <w:color w:val="0000FF" w:themeColor="hyperlink"/>
      <w:u w:val="single"/>
    </w:rPr>
  </w:style>
  <w:style w:type="table" w:styleId="Grigliatabella">
    <w:name w:val="Table Grid"/>
    <w:basedOn w:val="Tabellanormale"/>
    <w:uiPriority w:val="59"/>
    <w:rsid w:val="007316A2"/>
    <w:pPr>
      <w:spacing w:after="0" w:line="240" w:lineRule="auto"/>
      <w:jc w:val="both"/>
    </w:pPr>
    <w:rPr>
      <w:rFonts w:ascii="Verdana" w:hAnsi="Verdana" w:cstheme="majorBidi"/>
      <w:bCs/>
      <w:color w:val="548DD4" w:themeColor="text2" w:themeTint="9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A27715"/>
    <w:rPr>
      <w:i/>
      <w:iCs/>
    </w:rPr>
  </w:style>
  <w:style w:type="character" w:customStyle="1" w:styleId="field">
    <w:name w:val="field"/>
    <w:basedOn w:val="Carpredefinitoparagrafo"/>
    <w:rsid w:val="00A2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752186">
      <w:bodyDiv w:val="1"/>
      <w:marLeft w:val="0"/>
      <w:marRight w:val="0"/>
      <w:marTop w:val="0"/>
      <w:marBottom w:val="0"/>
      <w:divBdr>
        <w:top w:val="none" w:sz="0" w:space="0" w:color="auto"/>
        <w:left w:val="none" w:sz="0" w:space="0" w:color="auto"/>
        <w:bottom w:val="none" w:sz="0" w:space="0" w:color="auto"/>
        <w:right w:val="none" w:sz="0" w:space="0" w:color="auto"/>
      </w:divBdr>
      <w:divsChild>
        <w:div w:id="1046444089">
          <w:marLeft w:val="0"/>
          <w:marRight w:val="0"/>
          <w:marTop w:val="0"/>
          <w:marBottom w:val="0"/>
          <w:divBdr>
            <w:top w:val="none" w:sz="0" w:space="0" w:color="auto"/>
            <w:left w:val="none" w:sz="0" w:space="0" w:color="auto"/>
            <w:bottom w:val="none" w:sz="0" w:space="0" w:color="auto"/>
            <w:right w:val="none" w:sz="0" w:space="0" w:color="auto"/>
          </w:divBdr>
        </w:div>
        <w:div w:id="1794322848">
          <w:marLeft w:val="0"/>
          <w:marRight w:val="0"/>
          <w:marTop w:val="0"/>
          <w:marBottom w:val="0"/>
          <w:divBdr>
            <w:top w:val="none" w:sz="0" w:space="0" w:color="auto"/>
            <w:left w:val="none" w:sz="0" w:space="0" w:color="auto"/>
            <w:bottom w:val="none" w:sz="0" w:space="0" w:color="auto"/>
            <w:right w:val="none" w:sz="0" w:space="0" w:color="auto"/>
          </w:divBdr>
          <w:divsChild>
            <w:div w:id="872881140">
              <w:marLeft w:val="0"/>
              <w:marRight w:val="0"/>
              <w:marTop w:val="0"/>
              <w:marBottom w:val="0"/>
              <w:divBdr>
                <w:top w:val="none" w:sz="0" w:space="0" w:color="auto"/>
                <w:left w:val="none" w:sz="0" w:space="0" w:color="auto"/>
                <w:bottom w:val="none" w:sz="0" w:space="0" w:color="auto"/>
                <w:right w:val="none" w:sz="0" w:space="0" w:color="auto"/>
              </w:divBdr>
              <w:divsChild>
                <w:div w:id="1134256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rviziocontrattipubblici.it/SPInApp/it/works_unfinished.page" TargetMode="External"/><Relationship Id="rId4" Type="http://schemas.openxmlformats.org/officeDocument/2006/relationships/hyperlink" Target="https://www.mit.gov.it/nfsmitgov/files/media/notizia/2022-07/Statistiche%20opere%20incompiut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Ministero delle Infrastrutture e dei Trasporti</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Tremi Proietti Floriana</dc:creator>
  <cp:lastModifiedBy>Giuseppe Rizzuto</cp:lastModifiedBy>
  <cp:revision>4</cp:revision>
  <dcterms:created xsi:type="dcterms:W3CDTF">2022-07-01T16:53:00Z</dcterms:created>
  <dcterms:modified xsi:type="dcterms:W3CDTF">2022-07-04T13:45:00Z</dcterms:modified>
</cp:coreProperties>
</file>